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42E9E" w:rsidRDefault="00830BA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Angelina </w:t>
      </w:r>
      <w:proofErr w:type="spellStart"/>
      <w:r>
        <w:rPr>
          <w:rFonts w:ascii="Times New Roman" w:eastAsia="Times New Roman" w:hAnsi="Times New Roman" w:cs="Times New Roman"/>
          <w:sz w:val="24"/>
          <w:szCs w:val="24"/>
        </w:rPr>
        <w:t>mckeon</w:t>
      </w:r>
      <w:proofErr w:type="spellEnd"/>
      <w:r>
        <w:rPr>
          <w:rFonts w:ascii="Times New Roman" w:eastAsia="Times New Roman" w:hAnsi="Times New Roman" w:cs="Times New Roman"/>
          <w:sz w:val="24"/>
          <w:szCs w:val="24"/>
        </w:rPr>
        <w:t xml:space="preserve"> </w:t>
      </w:r>
    </w:p>
    <w:p w14:paraId="00000002" w14:textId="77777777" w:rsidR="00C42E9E" w:rsidRDefault="00830BA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 </w:t>
      </w:r>
    </w:p>
    <w:p w14:paraId="00000003" w14:textId="77777777" w:rsidR="00C42E9E" w:rsidRDefault="00830BAD">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w:t>
      </w:r>
      <w:proofErr w:type="spellEnd"/>
      <w:r>
        <w:rPr>
          <w:rFonts w:ascii="Times New Roman" w:eastAsia="Times New Roman" w:hAnsi="Times New Roman" w:cs="Times New Roman"/>
          <w:sz w:val="24"/>
          <w:szCs w:val="24"/>
        </w:rPr>
        <w:t xml:space="preserve"> government </w:t>
      </w:r>
    </w:p>
    <w:p w14:paraId="00000004" w14:textId="77777777" w:rsidR="00C42E9E" w:rsidRDefault="00830BA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10-20-2020</w:t>
      </w:r>
    </w:p>
    <w:p w14:paraId="00000005" w14:textId="01E3594E" w:rsidR="00C42E9E" w:rsidRDefault="00830BA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Federal Reserve </w:t>
      </w:r>
    </w:p>
    <w:p w14:paraId="09E5C82D" w14:textId="1B5BC306" w:rsidR="00223E68" w:rsidRDefault="00223E68" w:rsidP="00223E68">
      <w:pPr>
        <w:spacing w:line="480" w:lineRule="auto"/>
        <w:rPr>
          <w:rFonts w:ascii="Times New Roman" w:eastAsia="Times New Roman" w:hAnsi="Times New Roman" w:cs="Times New Roman"/>
          <w:b/>
          <w:sz w:val="24"/>
          <w:szCs w:val="24"/>
        </w:rPr>
      </w:pPr>
      <w:r w:rsidRPr="00223E68">
        <w:rPr>
          <w:rFonts w:ascii="Times New Roman" w:eastAsia="Times New Roman" w:hAnsi="Times New Roman" w:cs="Times New Roman"/>
          <w:b/>
          <w:sz w:val="24"/>
          <w:szCs w:val="24"/>
        </w:rPr>
        <w:t xml:space="preserve">Overview </w:t>
      </w:r>
    </w:p>
    <w:p w14:paraId="00000007" w14:textId="236BBE50" w:rsidR="00C42E9E" w:rsidRDefault="00F82E63" w:rsidP="00F82E63">
      <w:pPr>
        <w:spacing w:line="480" w:lineRule="auto"/>
        <w:ind w:firstLine="720"/>
        <w:rPr>
          <w:rFonts w:ascii="Times New Roman" w:eastAsia="Times New Roman" w:hAnsi="Times New Roman" w:cs="Times New Roman"/>
          <w:sz w:val="24"/>
          <w:szCs w:val="24"/>
        </w:rPr>
      </w:pPr>
      <w:r w:rsidRPr="00F82E63">
        <w:rPr>
          <w:rFonts w:ascii="Times New Roman" w:eastAsia="Times New Roman" w:hAnsi="Times New Roman" w:cs="Times New Roman"/>
          <w:sz w:val="24"/>
          <w:szCs w:val="24"/>
        </w:rPr>
        <w:t>The F</w:t>
      </w:r>
      <w:r w:rsidR="0098481B" w:rsidRPr="00F82E63">
        <w:rPr>
          <w:rFonts w:ascii="Times New Roman" w:eastAsia="Times New Roman" w:hAnsi="Times New Roman" w:cs="Times New Roman"/>
          <w:sz w:val="24"/>
          <w:szCs w:val="24"/>
        </w:rPr>
        <w:t xml:space="preserve">ederal </w:t>
      </w:r>
      <w:r w:rsidRPr="00F82E63">
        <w:rPr>
          <w:rFonts w:ascii="Times New Roman" w:eastAsia="Times New Roman" w:hAnsi="Times New Roman" w:cs="Times New Roman"/>
          <w:sz w:val="24"/>
          <w:szCs w:val="24"/>
        </w:rPr>
        <w:t>R</w:t>
      </w:r>
      <w:r w:rsidR="0098481B" w:rsidRPr="00F82E63">
        <w:rPr>
          <w:rFonts w:ascii="Times New Roman" w:eastAsia="Times New Roman" w:hAnsi="Times New Roman" w:cs="Times New Roman"/>
          <w:sz w:val="24"/>
          <w:szCs w:val="24"/>
        </w:rPr>
        <w:t xml:space="preserve">eserve </w:t>
      </w:r>
      <w:r w:rsidRPr="00F82E63">
        <w:rPr>
          <w:rFonts w:ascii="Times New Roman" w:eastAsia="Times New Roman" w:hAnsi="Times New Roman" w:cs="Times New Roman"/>
          <w:sz w:val="24"/>
          <w:szCs w:val="24"/>
        </w:rPr>
        <w:t>System</w:t>
      </w:r>
      <w:r>
        <w:rPr>
          <w:rFonts w:ascii="Times New Roman" w:eastAsia="Times New Roman" w:hAnsi="Times New Roman" w:cs="Times New Roman"/>
          <w:sz w:val="24"/>
          <w:szCs w:val="24"/>
        </w:rPr>
        <w:t xml:space="preserve"> is the United States’ central bank. It was established by the United States Congress in December 23 ,1913 to offer the country with more stable, more flexible as well as safer financial and monetary system</w:t>
      </w:r>
      <w:sdt>
        <w:sdtPr>
          <w:rPr>
            <w:rFonts w:ascii="Times New Roman" w:eastAsia="Times New Roman" w:hAnsi="Times New Roman" w:cs="Times New Roman"/>
            <w:sz w:val="24"/>
            <w:szCs w:val="24"/>
          </w:rPr>
          <w:id w:val="-1383795633"/>
          <w:citation/>
        </w:sdtPr>
        <w:sdtContent>
          <w:r w:rsidR="00952249">
            <w:rPr>
              <w:rFonts w:ascii="Times New Roman" w:eastAsia="Times New Roman" w:hAnsi="Times New Roman" w:cs="Times New Roman"/>
              <w:sz w:val="24"/>
              <w:szCs w:val="24"/>
            </w:rPr>
            <w:fldChar w:fldCharType="begin"/>
          </w:r>
          <w:r w:rsidR="00952249">
            <w:rPr>
              <w:rFonts w:ascii="Times New Roman" w:eastAsia="Times New Roman" w:hAnsi="Times New Roman" w:cs="Times New Roman"/>
              <w:sz w:val="24"/>
              <w:szCs w:val="24"/>
              <w:lang w:val="en-US"/>
            </w:rPr>
            <w:instrText xml:space="preserve">CITATION Wel17 \p 30 \l 1033 </w:instrText>
          </w:r>
          <w:r w:rsidR="00952249">
            <w:rPr>
              <w:rFonts w:ascii="Times New Roman" w:eastAsia="Times New Roman" w:hAnsi="Times New Roman" w:cs="Times New Roman"/>
              <w:sz w:val="24"/>
              <w:szCs w:val="24"/>
            </w:rPr>
            <w:fldChar w:fldCharType="separate"/>
          </w:r>
          <w:r w:rsidR="00952249">
            <w:rPr>
              <w:rFonts w:ascii="Times New Roman" w:eastAsia="Times New Roman" w:hAnsi="Times New Roman" w:cs="Times New Roman"/>
              <w:noProof/>
              <w:sz w:val="24"/>
              <w:szCs w:val="24"/>
              <w:lang w:val="en-US"/>
            </w:rPr>
            <w:t xml:space="preserve"> </w:t>
          </w:r>
          <w:r w:rsidR="00952249" w:rsidRPr="00952249">
            <w:rPr>
              <w:rFonts w:ascii="Times New Roman" w:eastAsia="Times New Roman" w:hAnsi="Times New Roman" w:cs="Times New Roman"/>
              <w:noProof/>
              <w:sz w:val="24"/>
              <w:szCs w:val="24"/>
              <w:lang w:val="en-US"/>
            </w:rPr>
            <w:t>(Wells 30)</w:t>
          </w:r>
          <w:r w:rsidR="00952249">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The</w:t>
      </w:r>
      <w:r w:rsidR="00223E68">
        <w:rPr>
          <w:rFonts w:ascii="Times New Roman" w:eastAsia="Times New Roman" w:hAnsi="Times New Roman" w:cs="Times New Roman"/>
          <w:sz w:val="24"/>
          <w:szCs w:val="24"/>
        </w:rPr>
        <w:t xml:space="preserve"> primary purpose of federal reserve was to safeguard the country against the economic and crises or distances as well banking</w:t>
      </w:r>
      <w:sdt>
        <w:sdtPr>
          <w:rPr>
            <w:rFonts w:ascii="Times New Roman" w:eastAsia="Times New Roman" w:hAnsi="Times New Roman" w:cs="Times New Roman"/>
            <w:sz w:val="24"/>
            <w:szCs w:val="24"/>
          </w:rPr>
          <w:id w:val="1085957214"/>
          <w:citation/>
        </w:sdtPr>
        <w:sdtContent>
          <w:r w:rsidR="009B5F42">
            <w:rPr>
              <w:rFonts w:ascii="Times New Roman" w:eastAsia="Times New Roman" w:hAnsi="Times New Roman" w:cs="Times New Roman"/>
              <w:sz w:val="24"/>
              <w:szCs w:val="24"/>
            </w:rPr>
            <w:fldChar w:fldCharType="begin"/>
          </w:r>
          <w:r w:rsidR="009B5F42">
            <w:rPr>
              <w:rFonts w:ascii="Times New Roman" w:eastAsia="Times New Roman" w:hAnsi="Times New Roman" w:cs="Times New Roman"/>
              <w:sz w:val="24"/>
              <w:szCs w:val="24"/>
              <w:lang w:val="en-US"/>
            </w:rPr>
            <w:instrText xml:space="preserve">CITATION Ori99 \p 4 \l 1033 </w:instrText>
          </w:r>
          <w:r w:rsidR="009B5F42">
            <w:rPr>
              <w:rFonts w:ascii="Times New Roman" w:eastAsia="Times New Roman" w:hAnsi="Times New Roman" w:cs="Times New Roman"/>
              <w:sz w:val="24"/>
              <w:szCs w:val="24"/>
            </w:rPr>
            <w:fldChar w:fldCharType="separate"/>
          </w:r>
          <w:r w:rsidR="009B5F42">
            <w:rPr>
              <w:rFonts w:ascii="Times New Roman" w:eastAsia="Times New Roman" w:hAnsi="Times New Roman" w:cs="Times New Roman"/>
              <w:noProof/>
              <w:sz w:val="24"/>
              <w:szCs w:val="24"/>
              <w:lang w:val="en-US"/>
            </w:rPr>
            <w:t xml:space="preserve"> </w:t>
          </w:r>
          <w:r w:rsidR="009B5F42" w:rsidRPr="009B5F42">
            <w:rPr>
              <w:rFonts w:ascii="Times New Roman" w:eastAsia="Times New Roman" w:hAnsi="Times New Roman" w:cs="Times New Roman"/>
              <w:noProof/>
              <w:sz w:val="24"/>
              <w:szCs w:val="24"/>
              <w:lang w:val="en-US"/>
            </w:rPr>
            <w:t>(Broz 4)</w:t>
          </w:r>
          <w:r w:rsidR="009B5F42">
            <w:rPr>
              <w:rFonts w:ascii="Times New Roman" w:eastAsia="Times New Roman" w:hAnsi="Times New Roman" w:cs="Times New Roman"/>
              <w:sz w:val="24"/>
              <w:szCs w:val="24"/>
            </w:rPr>
            <w:fldChar w:fldCharType="end"/>
          </w:r>
        </w:sdtContent>
      </w:sdt>
      <w:r w:rsidR="00223E68">
        <w:rPr>
          <w:rFonts w:ascii="Times New Roman" w:eastAsia="Times New Roman" w:hAnsi="Times New Roman" w:cs="Times New Roman"/>
          <w:sz w:val="24"/>
          <w:szCs w:val="24"/>
        </w:rPr>
        <w:t>.</w:t>
      </w:r>
    </w:p>
    <w:p w14:paraId="3DC580F3" w14:textId="2D283425" w:rsidR="004D433E" w:rsidRDefault="004C7359" w:rsidP="004C735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Before 1914 the United States’ financial system was the worst in the globe. The system was dominantly characterized by the absence of the central to regulate money supply and demand, to act as a banker to commercial banks and the government, and the lender of the last resort. The salient features of the system were severe seasonal fluctuations of interest rates and continuous occurrence of banking </w:t>
      </w:r>
      <w:r w:rsidR="00C72F79">
        <w:rPr>
          <w:rFonts w:ascii="Times New Roman" w:eastAsia="Times New Roman" w:hAnsi="Times New Roman" w:cs="Times New Roman"/>
          <w:sz w:val="24"/>
          <w:szCs w:val="24"/>
        </w:rPr>
        <w:t>panics</w:t>
      </w:r>
      <w:sdt>
        <w:sdtPr>
          <w:rPr>
            <w:rFonts w:ascii="Times New Roman" w:eastAsia="Times New Roman" w:hAnsi="Times New Roman" w:cs="Times New Roman"/>
            <w:sz w:val="24"/>
            <w:szCs w:val="24"/>
          </w:rPr>
          <w:id w:val="-833378443"/>
          <w:citation/>
        </w:sdtPr>
        <w:sdtContent>
          <w:r w:rsidR="005E46B0">
            <w:rPr>
              <w:rFonts w:ascii="Times New Roman" w:eastAsia="Times New Roman" w:hAnsi="Times New Roman" w:cs="Times New Roman"/>
              <w:sz w:val="24"/>
              <w:szCs w:val="24"/>
            </w:rPr>
            <w:fldChar w:fldCharType="begin"/>
          </w:r>
          <w:r w:rsidR="005E46B0">
            <w:rPr>
              <w:rFonts w:ascii="Times New Roman" w:eastAsia="Times New Roman" w:hAnsi="Times New Roman" w:cs="Times New Roman"/>
              <w:sz w:val="24"/>
              <w:szCs w:val="24"/>
              <w:lang w:val="en-US"/>
            </w:rPr>
            <w:instrText xml:space="preserve">CITATION Law15 \p 342 \l 1033 </w:instrText>
          </w:r>
          <w:r w:rsidR="005E46B0">
            <w:rPr>
              <w:rFonts w:ascii="Times New Roman" w:eastAsia="Times New Roman" w:hAnsi="Times New Roman" w:cs="Times New Roman"/>
              <w:sz w:val="24"/>
              <w:szCs w:val="24"/>
            </w:rPr>
            <w:fldChar w:fldCharType="separate"/>
          </w:r>
          <w:r w:rsidR="005E46B0">
            <w:rPr>
              <w:rFonts w:ascii="Times New Roman" w:eastAsia="Times New Roman" w:hAnsi="Times New Roman" w:cs="Times New Roman"/>
              <w:noProof/>
              <w:sz w:val="24"/>
              <w:szCs w:val="24"/>
              <w:lang w:val="en-US"/>
            </w:rPr>
            <w:t xml:space="preserve"> </w:t>
          </w:r>
          <w:r w:rsidR="005E46B0" w:rsidRPr="005E46B0">
            <w:rPr>
              <w:rFonts w:ascii="Times New Roman" w:eastAsia="Times New Roman" w:hAnsi="Times New Roman" w:cs="Times New Roman"/>
              <w:noProof/>
              <w:sz w:val="24"/>
              <w:szCs w:val="24"/>
              <w:lang w:val="en-US"/>
            </w:rPr>
            <w:t>(Lawrence 342)</w:t>
          </w:r>
          <w:r w:rsidR="005E46B0">
            <w:rPr>
              <w:rFonts w:ascii="Times New Roman" w:eastAsia="Times New Roman" w:hAnsi="Times New Roman" w:cs="Times New Roman"/>
              <w:sz w:val="24"/>
              <w:szCs w:val="24"/>
            </w:rPr>
            <w:fldChar w:fldCharType="end"/>
          </w:r>
        </w:sdtContent>
      </w:sdt>
      <w:r w:rsidR="00C72F79">
        <w:rPr>
          <w:rFonts w:ascii="Times New Roman" w:eastAsia="Times New Roman" w:hAnsi="Times New Roman" w:cs="Times New Roman"/>
          <w:sz w:val="24"/>
          <w:szCs w:val="24"/>
        </w:rPr>
        <w:t>. Additionally</w:t>
      </w:r>
      <w:r w:rsidR="007A3552">
        <w:rPr>
          <w:rFonts w:ascii="Times New Roman" w:eastAsia="Times New Roman" w:hAnsi="Times New Roman" w:cs="Times New Roman"/>
          <w:sz w:val="24"/>
          <w:szCs w:val="24"/>
        </w:rPr>
        <w:t xml:space="preserve">, </w:t>
      </w:r>
      <w:r w:rsidR="00C72F79">
        <w:rPr>
          <w:rFonts w:ascii="Times New Roman" w:eastAsia="Times New Roman" w:hAnsi="Times New Roman" w:cs="Times New Roman"/>
          <w:sz w:val="24"/>
          <w:szCs w:val="24"/>
        </w:rPr>
        <w:t xml:space="preserve">the country’s financial challenges were costly both economically and financially since the banking panics and financial disturbances were often accompanied by business failure, increased unemployment rate, reduced economic activities, as well as a sharp decrease in the circulation of money in the </w:t>
      </w:r>
      <w:r w:rsidR="003B30A1">
        <w:rPr>
          <w:rFonts w:ascii="Times New Roman" w:eastAsia="Times New Roman" w:hAnsi="Times New Roman" w:cs="Times New Roman"/>
          <w:sz w:val="24"/>
          <w:szCs w:val="24"/>
        </w:rPr>
        <w:t>economy. To</w:t>
      </w:r>
      <w:r w:rsidR="004D433E">
        <w:rPr>
          <w:rFonts w:ascii="Times New Roman" w:eastAsia="Times New Roman" w:hAnsi="Times New Roman" w:cs="Times New Roman"/>
          <w:sz w:val="24"/>
          <w:szCs w:val="24"/>
        </w:rPr>
        <w:t xml:space="preserve"> mitigate the financial </w:t>
      </w:r>
      <w:r w:rsidR="001F5A9D">
        <w:rPr>
          <w:rFonts w:ascii="Times New Roman" w:eastAsia="Times New Roman" w:hAnsi="Times New Roman" w:cs="Times New Roman"/>
          <w:sz w:val="24"/>
          <w:szCs w:val="24"/>
        </w:rPr>
        <w:t>challenges,</w:t>
      </w:r>
      <w:r w:rsidR="004D433E">
        <w:rPr>
          <w:rFonts w:ascii="Times New Roman" w:eastAsia="Times New Roman" w:hAnsi="Times New Roman" w:cs="Times New Roman"/>
          <w:sz w:val="24"/>
          <w:szCs w:val="24"/>
        </w:rPr>
        <w:t xml:space="preserve"> the United States was experiencing in the financial system the Congress established the </w:t>
      </w:r>
      <w:r w:rsidR="001F5A9D">
        <w:rPr>
          <w:rFonts w:ascii="Times New Roman" w:eastAsia="Times New Roman" w:hAnsi="Times New Roman" w:cs="Times New Roman"/>
          <w:sz w:val="24"/>
          <w:szCs w:val="24"/>
        </w:rPr>
        <w:t xml:space="preserve">federal reserve </w:t>
      </w:r>
      <w:r w:rsidR="003B30A1">
        <w:rPr>
          <w:rFonts w:ascii="Times New Roman" w:eastAsia="Times New Roman" w:hAnsi="Times New Roman" w:cs="Times New Roman"/>
          <w:sz w:val="24"/>
          <w:szCs w:val="24"/>
        </w:rPr>
        <w:t>to enhance financial safety and stability.</w:t>
      </w:r>
    </w:p>
    <w:p w14:paraId="00000008" w14:textId="0F17B409" w:rsidR="00C42E9E" w:rsidRDefault="00075C88">
      <w:pPr>
        <w:spacing w:line="480" w:lineRule="auto"/>
        <w:rPr>
          <w:rFonts w:ascii="Times New Roman" w:eastAsia="Times New Roman" w:hAnsi="Times New Roman" w:cs="Times New Roman"/>
          <w:b/>
          <w:sz w:val="24"/>
          <w:szCs w:val="24"/>
        </w:rPr>
      </w:pPr>
      <w:r w:rsidRPr="00075C88">
        <w:rPr>
          <w:rFonts w:ascii="Times New Roman" w:eastAsia="Times New Roman" w:hAnsi="Times New Roman" w:cs="Times New Roman"/>
          <w:b/>
          <w:sz w:val="24"/>
          <w:szCs w:val="24"/>
        </w:rPr>
        <w:t xml:space="preserve">Functions and Management of the Federal Reserve System </w:t>
      </w:r>
    </w:p>
    <w:p w14:paraId="1B627DA3" w14:textId="7403DD11" w:rsidR="00075C88" w:rsidRDefault="00603777" w:rsidP="00802590">
      <w:pPr>
        <w:spacing w:line="480" w:lineRule="auto"/>
        <w:ind w:firstLine="720"/>
        <w:rPr>
          <w:rFonts w:ascii="Times New Roman" w:eastAsia="Times New Roman" w:hAnsi="Times New Roman" w:cs="Times New Roman"/>
          <w:sz w:val="24"/>
          <w:szCs w:val="24"/>
        </w:rPr>
      </w:pPr>
      <w:r w:rsidRPr="00603777">
        <w:rPr>
          <w:rFonts w:ascii="Times New Roman" w:eastAsia="Times New Roman" w:hAnsi="Times New Roman" w:cs="Times New Roman"/>
          <w:sz w:val="24"/>
          <w:szCs w:val="24"/>
        </w:rPr>
        <w:lastRenderedPageBreak/>
        <w:t xml:space="preserve">As the central Bank of the United States Federal System </w:t>
      </w:r>
      <w:r>
        <w:rPr>
          <w:rFonts w:ascii="Times New Roman" w:eastAsia="Times New Roman" w:hAnsi="Times New Roman" w:cs="Times New Roman"/>
          <w:sz w:val="24"/>
          <w:szCs w:val="24"/>
        </w:rPr>
        <w:t xml:space="preserve">acts the government’s fiscal agent, regulates supply of money, advances loans other financial institutions such as commercial banks, serves as the commercial banks’ reserve accounts custodian. The Federal System was established </w:t>
      </w:r>
      <w:r w:rsidR="00802590">
        <w:rPr>
          <w:rFonts w:ascii="Times New Roman" w:eastAsia="Times New Roman" w:hAnsi="Times New Roman" w:cs="Times New Roman"/>
          <w:sz w:val="24"/>
          <w:szCs w:val="24"/>
        </w:rPr>
        <w:t>by the Federal Reserve Act. Additionally, the system of Federal Reserve System Board of Governors, the Federal Open Market Committee, the twelve Federal Reserve banks, as well as the Consumer Protection Bureau.</w:t>
      </w:r>
    </w:p>
    <w:p w14:paraId="5344D634" w14:textId="532C20A2" w:rsidR="009755B3" w:rsidRDefault="009755B3" w:rsidP="008025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of Governors comprise of seven members determines the member banks’ reserve requirements, review reserve banks’ budgets, and determines and review the discount rates. </w:t>
      </w:r>
      <w:r w:rsidR="00FC726D">
        <w:rPr>
          <w:rFonts w:ascii="Times New Roman" w:eastAsia="Times New Roman" w:hAnsi="Times New Roman" w:cs="Times New Roman"/>
          <w:sz w:val="24"/>
          <w:szCs w:val="24"/>
        </w:rPr>
        <w:t>The governor</w:t>
      </w:r>
      <w:r>
        <w:rPr>
          <w:rFonts w:ascii="Times New Roman" w:eastAsia="Times New Roman" w:hAnsi="Times New Roman" w:cs="Times New Roman"/>
          <w:sz w:val="24"/>
          <w:szCs w:val="24"/>
        </w:rPr>
        <w:t xml:space="preserve"> of the Federal System is appointed the U.S President and serves for a period of four </w:t>
      </w:r>
      <w:r w:rsidR="00101D49">
        <w:rPr>
          <w:rFonts w:ascii="Times New Roman" w:eastAsia="Times New Roman" w:hAnsi="Times New Roman" w:cs="Times New Roman"/>
          <w:sz w:val="24"/>
          <w:szCs w:val="24"/>
        </w:rPr>
        <w:t>years’</w:t>
      </w:r>
      <w:r>
        <w:rPr>
          <w:rFonts w:ascii="Times New Roman" w:eastAsia="Times New Roman" w:hAnsi="Times New Roman" w:cs="Times New Roman"/>
          <w:sz w:val="24"/>
          <w:szCs w:val="24"/>
        </w:rPr>
        <w:t xml:space="preserve"> </w:t>
      </w:r>
      <w:r w:rsidR="00FC726D">
        <w:rPr>
          <w:rFonts w:ascii="Times New Roman" w:eastAsia="Times New Roman" w:hAnsi="Times New Roman" w:cs="Times New Roman"/>
          <w:sz w:val="24"/>
          <w:szCs w:val="24"/>
        </w:rPr>
        <w:t>term</w:t>
      </w:r>
      <w:r>
        <w:rPr>
          <w:rFonts w:ascii="Times New Roman" w:eastAsia="Times New Roman" w:hAnsi="Times New Roman" w:cs="Times New Roman"/>
          <w:sz w:val="24"/>
          <w:szCs w:val="24"/>
        </w:rPr>
        <w:t>.</w:t>
      </w:r>
    </w:p>
    <w:p w14:paraId="2ABB428F" w14:textId="6E167E66" w:rsidR="00603777" w:rsidRPr="004A1D7D" w:rsidRDefault="00CE0725" w:rsidP="005737D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Federal Reserve Banks was established by under the Federal Reserve Act. It managed and governed by nine board of directors three are appointed by the Federal Reserve System Board of Governors and six are elected by the system’s member </w:t>
      </w:r>
      <w:r w:rsidR="005737D3">
        <w:rPr>
          <w:rFonts w:ascii="Times New Roman" w:eastAsia="Times New Roman" w:hAnsi="Times New Roman" w:cs="Times New Roman"/>
          <w:sz w:val="24"/>
          <w:szCs w:val="24"/>
        </w:rPr>
        <w:t>banks.</w:t>
      </w:r>
      <w:r w:rsidR="005737D3" w:rsidRPr="004A1D7D">
        <w:rPr>
          <w:rFonts w:ascii="Times New Roman" w:eastAsia="Times New Roman" w:hAnsi="Times New Roman" w:cs="Times New Roman"/>
          <w:sz w:val="24"/>
          <w:szCs w:val="24"/>
        </w:rPr>
        <w:t xml:space="preserve"> The</w:t>
      </w:r>
      <w:r w:rsidR="004A1D7D" w:rsidRPr="004A1D7D">
        <w:rPr>
          <w:rFonts w:ascii="Times New Roman" w:eastAsia="Times New Roman" w:hAnsi="Times New Roman" w:cs="Times New Roman"/>
          <w:sz w:val="24"/>
          <w:szCs w:val="24"/>
        </w:rPr>
        <w:t xml:space="preserve"> twelve Federal Reserve System are </w:t>
      </w:r>
      <w:r w:rsidR="004A1D7D">
        <w:rPr>
          <w:rFonts w:ascii="Times New Roman" w:eastAsia="Times New Roman" w:hAnsi="Times New Roman" w:cs="Times New Roman"/>
          <w:sz w:val="24"/>
          <w:szCs w:val="24"/>
        </w:rPr>
        <w:t xml:space="preserve">found in San Francisco, Missouri, St. </w:t>
      </w:r>
      <w:r w:rsidR="00C641CE">
        <w:rPr>
          <w:rFonts w:ascii="Times New Roman" w:eastAsia="Times New Roman" w:hAnsi="Times New Roman" w:cs="Times New Roman"/>
          <w:sz w:val="24"/>
          <w:szCs w:val="24"/>
        </w:rPr>
        <w:t>Louis,</w:t>
      </w:r>
      <w:r w:rsidR="004A1D7D">
        <w:rPr>
          <w:rFonts w:ascii="Times New Roman" w:eastAsia="Times New Roman" w:hAnsi="Times New Roman" w:cs="Times New Roman"/>
          <w:sz w:val="24"/>
          <w:szCs w:val="24"/>
        </w:rPr>
        <w:t xml:space="preserve"> Virginia, Richmond, Philadelphia, New York City, Minnesota, Minneapolis, </w:t>
      </w:r>
      <w:r w:rsidR="00C641CE">
        <w:rPr>
          <w:rFonts w:ascii="Times New Roman" w:eastAsia="Times New Roman" w:hAnsi="Times New Roman" w:cs="Times New Roman"/>
          <w:sz w:val="24"/>
          <w:szCs w:val="24"/>
        </w:rPr>
        <w:t>Kansas City</w:t>
      </w:r>
      <w:r w:rsidR="004A1D7D">
        <w:rPr>
          <w:rFonts w:ascii="Times New Roman" w:eastAsia="Times New Roman" w:hAnsi="Times New Roman" w:cs="Times New Roman"/>
          <w:sz w:val="24"/>
          <w:szCs w:val="24"/>
        </w:rPr>
        <w:t xml:space="preserve">, Dallas, Cleveland, Chicago, </w:t>
      </w:r>
      <w:r w:rsidR="00C641CE">
        <w:rPr>
          <w:rFonts w:ascii="Times New Roman" w:eastAsia="Times New Roman" w:hAnsi="Times New Roman" w:cs="Times New Roman"/>
          <w:sz w:val="24"/>
          <w:szCs w:val="24"/>
        </w:rPr>
        <w:t>Boston, and</w:t>
      </w:r>
      <w:r w:rsidR="005737D3">
        <w:rPr>
          <w:rFonts w:ascii="Times New Roman" w:eastAsia="Times New Roman" w:hAnsi="Times New Roman" w:cs="Times New Roman"/>
          <w:sz w:val="24"/>
          <w:szCs w:val="24"/>
        </w:rPr>
        <w:t xml:space="preserve"> Atlanta.</w:t>
      </w:r>
    </w:p>
    <w:p w14:paraId="0FE4A1BF" w14:textId="769B2004" w:rsidR="00603777" w:rsidRDefault="00B45BEB" w:rsidP="005737D3">
      <w:pPr>
        <w:spacing w:line="480" w:lineRule="auto"/>
        <w:ind w:firstLine="720"/>
        <w:rPr>
          <w:rFonts w:ascii="Times New Roman" w:eastAsia="Times New Roman" w:hAnsi="Times New Roman" w:cs="Times New Roman"/>
          <w:sz w:val="24"/>
          <w:szCs w:val="24"/>
        </w:rPr>
      </w:pPr>
      <w:r w:rsidRPr="00B45BEB">
        <w:rPr>
          <w:rFonts w:ascii="Times New Roman" w:eastAsia="Times New Roman" w:hAnsi="Times New Roman" w:cs="Times New Roman"/>
          <w:sz w:val="24"/>
          <w:szCs w:val="24"/>
        </w:rPr>
        <w:t>The Federal Open Market Committee consist of twelve members.</w:t>
      </w:r>
      <w:r>
        <w:rPr>
          <w:rFonts w:ascii="Times New Roman" w:eastAsia="Times New Roman" w:hAnsi="Times New Roman" w:cs="Times New Roman"/>
          <w:sz w:val="24"/>
          <w:szCs w:val="24"/>
        </w:rPr>
        <w:t xml:space="preserve"> It comprises of the Federal Reserve of New York president, seven Board of Governors members, and four members appointed by the United States Federal Reserve </w:t>
      </w:r>
      <w:r w:rsidR="00001A4A">
        <w:rPr>
          <w:rFonts w:ascii="Times New Roman" w:eastAsia="Times New Roman" w:hAnsi="Times New Roman" w:cs="Times New Roman"/>
          <w:sz w:val="24"/>
          <w:szCs w:val="24"/>
        </w:rPr>
        <w:t xml:space="preserve">Bank. The Federal </w:t>
      </w:r>
      <w:r w:rsidR="005737D3">
        <w:rPr>
          <w:rFonts w:ascii="Times New Roman" w:eastAsia="Times New Roman" w:hAnsi="Times New Roman" w:cs="Times New Roman"/>
          <w:sz w:val="24"/>
          <w:szCs w:val="24"/>
        </w:rPr>
        <w:t>Open Market</w:t>
      </w:r>
      <w:r w:rsidR="00001A4A">
        <w:rPr>
          <w:rFonts w:ascii="Times New Roman" w:eastAsia="Times New Roman" w:hAnsi="Times New Roman" w:cs="Times New Roman"/>
          <w:sz w:val="24"/>
          <w:szCs w:val="24"/>
        </w:rPr>
        <w:t xml:space="preserve"> Committee’s role is to </w:t>
      </w:r>
      <w:r w:rsidR="005737D3">
        <w:rPr>
          <w:rFonts w:ascii="Times New Roman" w:eastAsia="Times New Roman" w:hAnsi="Times New Roman" w:cs="Times New Roman"/>
          <w:sz w:val="24"/>
          <w:szCs w:val="24"/>
        </w:rPr>
        <w:t>encourage maximum</w:t>
      </w:r>
      <w:r w:rsidR="00001A4A">
        <w:rPr>
          <w:rFonts w:ascii="Times New Roman" w:eastAsia="Times New Roman" w:hAnsi="Times New Roman" w:cs="Times New Roman"/>
          <w:sz w:val="24"/>
          <w:szCs w:val="24"/>
        </w:rPr>
        <w:t xml:space="preserve"> </w:t>
      </w:r>
      <w:r w:rsidR="005737D3">
        <w:rPr>
          <w:rFonts w:ascii="Times New Roman" w:eastAsia="Times New Roman" w:hAnsi="Times New Roman" w:cs="Times New Roman"/>
          <w:sz w:val="24"/>
          <w:szCs w:val="24"/>
        </w:rPr>
        <w:t>employment the</w:t>
      </w:r>
      <w:r w:rsidR="00001A4A">
        <w:rPr>
          <w:rFonts w:ascii="Times New Roman" w:eastAsia="Times New Roman" w:hAnsi="Times New Roman" w:cs="Times New Roman"/>
          <w:sz w:val="24"/>
          <w:szCs w:val="24"/>
        </w:rPr>
        <w:t xml:space="preserve"> price stability long-term goals in the country by establishing the Federal Reserve Bank pol</w:t>
      </w:r>
      <w:r w:rsidR="00A410DF">
        <w:rPr>
          <w:rFonts w:ascii="Times New Roman" w:eastAsia="Times New Roman" w:hAnsi="Times New Roman" w:cs="Times New Roman"/>
          <w:sz w:val="24"/>
          <w:szCs w:val="24"/>
        </w:rPr>
        <w:t>icies.</w:t>
      </w:r>
    </w:p>
    <w:p w14:paraId="3828377C" w14:textId="79BDD1DA" w:rsidR="00A410DF" w:rsidRPr="00B45BEB" w:rsidRDefault="00A410DF" w:rsidP="005737D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Federal Reserve System </w:t>
      </w:r>
      <w:bookmarkStart w:id="0" w:name="_GoBack"/>
      <w:bookmarkEnd w:id="0"/>
      <w:r>
        <w:rPr>
          <w:rFonts w:ascii="Times New Roman" w:eastAsia="Times New Roman" w:hAnsi="Times New Roman" w:cs="Times New Roman"/>
          <w:sz w:val="24"/>
          <w:szCs w:val="24"/>
        </w:rPr>
        <w:t xml:space="preserve">regulates money supply and demand using either direct or indirect control instruments. An example of a direct control instruments is the adjustments of the </w:t>
      </w:r>
      <w:r>
        <w:rPr>
          <w:rFonts w:ascii="Times New Roman" w:eastAsia="Times New Roman" w:hAnsi="Times New Roman" w:cs="Times New Roman"/>
          <w:sz w:val="24"/>
          <w:szCs w:val="24"/>
        </w:rPr>
        <w:lastRenderedPageBreak/>
        <w:t xml:space="preserve">commercial banks’ legal reserve </w:t>
      </w:r>
      <w:r w:rsidR="002611D8">
        <w:rPr>
          <w:rFonts w:ascii="Times New Roman" w:eastAsia="Times New Roman" w:hAnsi="Times New Roman" w:cs="Times New Roman"/>
          <w:sz w:val="24"/>
          <w:szCs w:val="24"/>
        </w:rPr>
        <w:t>ratio;</w:t>
      </w:r>
      <w:r>
        <w:rPr>
          <w:rFonts w:ascii="Times New Roman" w:eastAsia="Times New Roman" w:hAnsi="Times New Roman" w:cs="Times New Roman"/>
          <w:sz w:val="24"/>
          <w:szCs w:val="24"/>
        </w:rPr>
        <w:t xml:space="preserve"> a proportion </w:t>
      </w:r>
      <w:r w:rsidR="002611D8">
        <w:rPr>
          <w:rFonts w:ascii="Times New Roman" w:eastAsia="Times New Roman" w:hAnsi="Times New Roman" w:cs="Times New Roman"/>
          <w:sz w:val="24"/>
          <w:szCs w:val="24"/>
        </w:rPr>
        <w:t>of the</w:t>
      </w:r>
      <w:r>
        <w:rPr>
          <w:rFonts w:ascii="Times New Roman" w:eastAsia="Times New Roman" w:hAnsi="Times New Roman" w:cs="Times New Roman"/>
          <w:sz w:val="24"/>
          <w:szCs w:val="24"/>
        </w:rPr>
        <w:t xml:space="preserve"> commercial bank’s deposits that it must in their federal reserve </w:t>
      </w:r>
      <w:r w:rsidR="002611D8">
        <w:rPr>
          <w:rFonts w:ascii="Times New Roman" w:eastAsia="Times New Roman" w:hAnsi="Times New Roman" w:cs="Times New Roman"/>
          <w:sz w:val="24"/>
          <w:szCs w:val="24"/>
        </w:rPr>
        <w:t>account. Hence,</w:t>
      </w:r>
      <w:r w:rsidR="00704367">
        <w:rPr>
          <w:rFonts w:ascii="Times New Roman" w:eastAsia="Times New Roman" w:hAnsi="Times New Roman" w:cs="Times New Roman"/>
          <w:sz w:val="24"/>
          <w:szCs w:val="24"/>
        </w:rPr>
        <w:t xml:space="preserve"> reducing or increasing the amount of money available the banks to give as loans to their </w:t>
      </w:r>
      <w:r w:rsidR="002611D8">
        <w:rPr>
          <w:rFonts w:ascii="Times New Roman" w:eastAsia="Times New Roman" w:hAnsi="Times New Roman" w:cs="Times New Roman"/>
          <w:sz w:val="24"/>
          <w:szCs w:val="24"/>
        </w:rPr>
        <w:t>clients. On the other hand, an example of the indirect monetary control instrument is the open –market operations(OMO)</w:t>
      </w:r>
      <w:r w:rsidR="005E46B0">
        <w:rPr>
          <w:rFonts w:ascii="Times New Roman" w:eastAsia="Times New Roman" w:hAnsi="Times New Roman" w:cs="Times New Roman"/>
          <w:sz w:val="24"/>
          <w:szCs w:val="24"/>
        </w:rPr>
        <w:t xml:space="preserve"> (Wells 43-45).</w:t>
      </w:r>
      <w:r w:rsidR="002611D8">
        <w:rPr>
          <w:rFonts w:ascii="Times New Roman" w:eastAsia="Times New Roman" w:hAnsi="Times New Roman" w:cs="Times New Roman"/>
          <w:sz w:val="24"/>
          <w:szCs w:val="24"/>
        </w:rPr>
        <w:t xml:space="preserve"> OMO involves the Federal Reserve System buying or selling the securities such as bonds, shares, treasury bills, and other forms of stock in the United States stock market exchange to increase or reduce the commercial banks’ reserve amounts. When securities are sold in the open market by the Federal Reserve System the buyers pay with the checks or money withdrawn from their bank accounts, hence decreasing the commercial banks and other financial institutions’ reserves.   </w:t>
      </w:r>
    </w:p>
    <w:p w14:paraId="1B9471F8" w14:textId="28E4EEB1" w:rsidR="00B45BEB" w:rsidRDefault="00B45BEB">
      <w:pPr>
        <w:spacing w:line="480" w:lineRule="auto"/>
        <w:rPr>
          <w:rFonts w:ascii="Times New Roman" w:eastAsia="Times New Roman" w:hAnsi="Times New Roman" w:cs="Times New Roman"/>
          <w:b/>
          <w:sz w:val="24"/>
          <w:szCs w:val="24"/>
        </w:rPr>
      </w:pPr>
    </w:p>
    <w:p w14:paraId="71A5CD98" w14:textId="00CD437F" w:rsidR="00B45BEB" w:rsidRDefault="00B45BEB">
      <w:pPr>
        <w:spacing w:line="480" w:lineRule="auto"/>
        <w:rPr>
          <w:rFonts w:ascii="Times New Roman" w:eastAsia="Times New Roman" w:hAnsi="Times New Roman" w:cs="Times New Roman"/>
          <w:b/>
          <w:sz w:val="24"/>
          <w:szCs w:val="24"/>
        </w:rPr>
      </w:pPr>
    </w:p>
    <w:p w14:paraId="5DA31B9A" w14:textId="5566D330" w:rsidR="00B45BEB" w:rsidRDefault="00B45BEB">
      <w:pPr>
        <w:spacing w:line="480" w:lineRule="auto"/>
        <w:rPr>
          <w:rFonts w:ascii="Times New Roman" w:eastAsia="Times New Roman" w:hAnsi="Times New Roman" w:cs="Times New Roman"/>
          <w:b/>
          <w:sz w:val="24"/>
          <w:szCs w:val="24"/>
        </w:rPr>
      </w:pPr>
    </w:p>
    <w:p w14:paraId="64C0C17C" w14:textId="51CBA536" w:rsidR="00B45BEB" w:rsidRDefault="00B45BEB">
      <w:pPr>
        <w:spacing w:line="480" w:lineRule="auto"/>
        <w:rPr>
          <w:rFonts w:ascii="Times New Roman" w:eastAsia="Times New Roman" w:hAnsi="Times New Roman" w:cs="Times New Roman"/>
          <w:b/>
          <w:sz w:val="24"/>
          <w:szCs w:val="24"/>
        </w:rPr>
      </w:pPr>
    </w:p>
    <w:p w14:paraId="0C8DE96E" w14:textId="3B40C826" w:rsidR="00B45BEB" w:rsidRDefault="00B45BEB">
      <w:pPr>
        <w:spacing w:line="480" w:lineRule="auto"/>
        <w:rPr>
          <w:rFonts w:ascii="Times New Roman" w:eastAsia="Times New Roman" w:hAnsi="Times New Roman" w:cs="Times New Roman"/>
          <w:b/>
          <w:sz w:val="24"/>
          <w:szCs w:val="24"/>
        </w:rPr>
      </w:pPr>
    </w:p>
    <w:p w14:paraId="3F4B3392" w14:textId="430632BE" w:rsidR="00B45BEB" w:rsidRDefault="00B45BEB">
      <w:pPr>
        <w:spacing w:line="480" w:lineRule="auto"/>
        <w:rPr>
          <w:rFonts w:ascii="Times New Roman" w:eastAsia="Times New Roman" w:hAnsi="Times New Roman" w:cs="Times New Roman"/>
          <w:b/>
          <w:sz w:val="24"/>
          <w:szCs w:val="24"/>
        </w:rPr>
      </w:pPr>
    </w:p>
    <w:p w14:paraId="5FD58088" w14:textId="1CB0D59F" w:rsidR="00B45BEB" w:rsidRDefault="00B45BEB">
      <w:pPr>
        <w:spacing w:line="480" w:lineRule="auto"/>
        <w:rPr>
          <w:rFonts w:ascii="Times New Roman" w:eastAsia="Times New Roman" w:hAnsi="Times New Roman" w:cs="Times New Roman"/>
          <w:b/>
          <w:sz w:val="24"/>
          <w:szCs w:val="24"/>
        </w:rPr>
      </w:pPr>
    </w:p>
    <w:p w14:paraId="47000409" w14:textId="66A7ADDA" w:rsidR="00B45BEB" w:rsidRDefault="00B45BEB">
      <w:pPr>
        <w:spacing w:line="480" w:lineRule="auto"/>
        <w:rPr>
          <w:rFonts w:ascii="Times New Roman" w:eastAsia="Times New Roman" w:hAnsi="Times New Roman" w:cs="Times New Roman"/>
          <w:b/>
          <w:sz w:val="24"/>
          <w:szCs w:val="24"/>
        </w:rPr>
      </w:pPr>
    </w:p>
    <w:p w14:paraId="49C56334" w14:textId="347BA805" w:rsidR="00B45BEB" w:rsidRDefault="00B45BEB">
      <w:pPr>
        <w:spacing w:line="480" w:lineRule="auto"/>
        <w:rPr>
          <w:rFonts w:ascii="Times New Roman" w:eastAsia="Times New Roman" w:hAnsi="Times New Roman" w:cs="Times New Roman"/>
          <w:b/>
          <w:sz w:val="24"/>
          <w:szCs w:val="24"/>
        </w:rPr>
      </w:pPr>
    </w:p>
    <w:p w14:paraId="06E99166" w14:textId="77777777" w:rsidR="00B45BEB" w:rsidRDefault="00B45BEB">
      <w:pPr>
        <w:spacing w:line="480" w:lineRule="auto"/>
        <w:rPr>
          <w:rFonts w:ascii="Times New Roman" w:eastAsia="Times New Roman" w:hAnsi="Times New Roman" w:cs="Times New Roman"/>
          <w:b/>
          <w:sz w:val="24"/>
          <w:szCs w:val="24"/>
        </w:rPr>
      </w:pPr>
    </w:p>
    <w:p w14:paraId="0103D438" w14:textId="0AF111EF" w:rsidR="00603777" w:rsidRDefault="00603777">
      <w:pPr>
        <w:spacing w:line="480" w:lineRule="auto"/>
        <w:rPr>
          <w:rFonts w:ascii="Times New Roman" w:eastAsia="Times New Roman" w:hAnsi="Times New Roman" w:cs="Times New Roman"/>
          <w:b/>
          <w:sz w:val="24"/>
          <w:szCs w:val="24"/>
        </w:rPr>
      </w:pPr>
    </w:p>
    <w:p w14:paraId="5D49AA08" w14:textId="6E0CE0B0" w:rsidR="00603777" w:rsidRDefault="00603777">
      <w:pPr>
        <w:spacing w:line="480" w:lineRule="auto"/>
        <w:rPr>
          <w:rFonts w:ascii="Times New Roman" w:eastAsia="Times New Roman" w:hAnsi="Times New Roman" w:cs="Times New Roman"/>
          <w:b/>
          <w:sz w:val="24"/>
          <w:szCs w:val="24"/>
        </w:rPr>
      </w:pPr>
    </w:p>
    <w:p w14:paraId="7F14B81E" w14:textId="72175B8B" w:rsidR="00603777" w:rsidRDefault="00603777">
      <w:pPr>
        <w:spacing w:line="480" w:lineRule="auto"/>
        <w:rPr>
          <w:rFonts w:ascii="Times New Roman" w:eastAsia="Times New Roman" w:hAnsi="Times New Roman" w:cs="Times New Roman"/>
          <w:b/>
          <w:sz w:val="24"/>
          <w:szCs w:val="24"/>
        </w:rPr>
      </w:pPr>
    </w:p>
    <w:p w14:paraId="051FD9A9" w14:textId="31EDED1B" w:rsidR="002611D8" w:rsidRDefault="002611D8">
      <w:pPr>
        <w:spacing w:line="480" w:lineRule="auto"/>
        <w:rPr>
          <w:rFonts w:ascii="Times New Roman" w:eastAsia="Times New Roman" w:hAnsi="Times New Roman" w:cs="Times New Roman"/>
          <w:b/>
          <w:sz w:val="24"/>
          <w:szCs w:val="24"/>
        </w:rPr>
      </w:pPr>
    </w:p>
    <w:p w14:paraId="0FADEDF1" w14:textId="1E8DF4D2" w:rsidR="002611D8" w:rsidRDefault="002611D8">
      <w:pPr>
        <w:spacing w:line="480" w:lineRule="auto"/>
        <w:rPr>
          <w:rFonts w:ascii="Times New Roman" w:eastAsia="Times New Roman" w:hAnsi="Times New Roman" w:cs="Times New Roman"/>
          <w:b/>
          <w:sz w:val="24"/>
          <w:szCs w:val="24"/>
        </w:rPr>
      </w:pPr>
    </w:p>
    <w:p w14:paraId="46F5CD97" w14:textId="5EDD07A0" w:rsidR="002611D8" w:rsidRDefault="002611D8">
      <w:pPr>
        <w:spacing w:line="480" w:lineRule="auto"/>
        <w:rPr>
          <w:rFonts w:ascii="Times New Roman" w:eastAsia="Times New Roman" w:hAnsi="Times New Roman" w:cs="Times New Roman"/>
          <w:b/>
          <w:sz w:val="24"/>
          <w:szCs w:val="24"/>
        </w:rPr>
      </w:pPr>
    </w:p>
    <w:p w14:paraId="607A62EF" w14:textId="59768A98" w:rsidR="002611D8" w:rsidRDefault="002611D8" w:rsidP="002611D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Cited</w:t>
      </w:r>
    </w:p>
    <w:p w14:paraId="64AFD677" w14:textId="77777777" w:rsidR="009B5F42" w:rsidRPr="009B5F42" w:rsidRDefault="009B5F42" w:rsidP="009B5F42">
      <w:pPr>
        <w:pStyle w:val="Bibliography"/>
        <w:spacing w:line="480" w:lineRule="auto"/>
        <w:ind w:left="1440" w:hanging="720"/>
        <w:contextualSpacing/>
        <w:rPr>
          <w:rFonts w:ascii="Times New Roman" w:hAnsi="Times New Roman" w:cs="Times New Roman"/>
          <w:noProof/>
          <w:sz w:val="24"/>
          <w:szCs w:val="24"/>
        </w:rPr>
      </w:pPr>
      <w:r>
        <w:rPr>
          <w:rFonts w:ascii="Times New Roman" w:hAnsi="Times New Roman" w:cs="Times New Roman"/>
          <w:color w:val="222222"/>
          <w:sz w:val="24"/>
          <w:szCs w:val="24"/>
          <w:shd w:val="clear" w:color="auto" w:fill="FFFFFF"/>
        </w:rPr>
        <w:fldChar w:fldCharType="begin"/>
      </w:r>
      <w:r>
        <w:rPr>
          <w:rFonts w:ascii="Times New Roman" w:hAnsi="Times New Roman" w:cs="Times New Roman"/>
          <w:color w:val="222222"/>
          <w:sz w:val="24"/>
          <w:szCs w:val="24"/>
          <w:shd w:val="clear" w:color="auto" w:fill="FFFFFF"/>
          <w:lang w:val="en-US"/>
        </w:rPr>
        <w:instrText xml:space="preserve"> BIBLIOGRAPHY  \l 1033 </w:instrText>
      </w:r>
      <w:r>
        <w:rPr>
          <w:rFonts w:ascii="Times New Roman" w:hAnsi="Times New Roman" w:cs="Times New Roman"/>
          <w:color w:val="222222"/>
          <w:sz w:val="24"/>
          <w:szCs w:val="24"/>
          <w:shd w:val="clear" w:color="auto" w:fill="FFFFFF"/>
        </w:rPr>
        <w:fldChar w:fldCharType="separate"/>
      </w:r>
      <w:r w:rsidRPr="009B5F42">
        <w:rPr>
          <w:rFonts w:ascii="Times New Roman" w:hAnsi="Times New Roman" w:cs="Times New Roman"/>
          <w:noProof/>
          <w:sz w:val="24"/>
          <w:szCs w:val="24"/>
        </w:rPr>
        <w:t>Broz, Lawrence. "Origins Of The Federal Reserve System: International Incentives And The Domestic Free-Rider Problem." (1999): 4-40.</w:t>
      </w:r>
    </w:p>
    <w:p w14:paraId="48C3747D" w14:textId="77777777" w:rsidR="009B5F42" w:rsidRPr="009B5F42" w:rsidRDefault="009B5F42" w:rsidP="009B5F42">
      <w:pPr>
        <w:pStyle w:val="Bibliography"/>
        <w:spacing w:line="480" w:lineRule="auto"/>
        <w:ind w:left="1440" w:hanging="720"/>
        <w:contextualSpacing/>
        <w:rPr>
          <w:rFonts w:ascii="Times New Roman" w:hAnsi="Times New Roman" w:cs="Times New Roman"/>
          <w:noProof/>
          <w:sz w:val="24"/>
          <w:szCs w:val="24"/>
        </w:rPr>
      </w:pPr>
      <w:r w:rsidRPr="009B5F42">
        <w:rPr>
          <w:rFonts w:ascii="Times New Roman" w:hAnsi="Times New Roman" w:cs="Times New Roman"/>
          <w:noProof/>
          <w:sz w:val="24"/>
          <w:szCs w:val="24"/>
        </w:rPr>
        <w:t xml:space="preserve">Lawrence, White. "The Federal Reserve System's Influence on Research in Monetary Economics." </w:t>
      </w:r>
      <w:r w:rsidRPr="009B5F42">
        <w:rPr>
          <w:rFonts w:ascii="Times New Roman" w:hAnsi="Times New Roman" w:cs="Times New Roman"/>
          <w:i/>
          <w:iCs/>
          <w:noProof/>
          <w:sz w:val="24"/>
          <w:szCs w:val="24"/>
        </w:rPr>
        <w:t>Econ Journal Watch</w:t>
      </w:r>
      <w:r w:rsidRPr="009B5F42">
        <w:rPr>
          <w:rFonts w:ascii="Times New Roman" w:hAnsi="Times New Roman" w:cs="Times New Roman"/>
          <w:noProof/>
          <w:sz w:val="24"/>
          <w:szCs w:val="24"/>
        </w:rPr>
        <w:t xml:space="preserve"> (2015): 325-354. &lt;https://www.researchgate.net/publication/46530632_The_Federal_Reserve_System's_Influence_on_Research_in_Monetary_Economics&gt;.</w:t>
      </w:r>
    </w:p>
    <w:p w14:paraId="0D58B069" w14:textId="77777777" w:rsidR="009B5F42" w:rsidRDefault="009B5F42" w:rsidP="009B5F42">
      <w:pPr>
        <w:pStyle w:val="Bibliography"/>
        <w:spacing w:line="480" w:lineRule="auto"/>
        <w:ind w:left="1440" w:hanging="720"/>
        <w:contextualSpacing/>
        <w:rPr>
          <w:noProof/>
        </w:rPr>
      </w:pPr>
      <w:r w:rsidRPr="009B5F42">
        <w:rPr>
          <w:rFonts w:ascii="Times New Roman" w:hAnsi="Times New Roman" w:cs="Times New Roman"/>
          <w:noProof/>
          <w:sz w:val="24"/>
          <w:szCs w:val="24"/>
        </w:rPr>
        <w:t xml:space="preserve">Wells, Donald. </w:t>
      </w:r>
      <w:r w:rsidRPr="009B5F42">
        <w:rPr>
          <w:rFonts w:ascii="Times New Roman" w:hAnsi="Times New Roman" w:cs="Times New Roman"/>
          <w:i/>
          <w:iCs/>
          <w:noProof/>
          <w:sz w:val="24"/>
          <w:szCs w:val="24"/>
        </w:rPr>
        <w:t>The Federal Reserve System: A History</w:t>
      </w:r>
      <w:r w:rsidRPr="009B5F42">
        <w:rPr>
          <w:rFonts w:ascii="Times New Roman" w:hAnsi="Times New Roman" w:cs="Times New Roman"/>
          <w:noProof/>
          <w:sz w:val="24"/>
          <w:szCs w:val="24"/>
        </w:rPr>
        <w:t>. McFarland, 2</w:t>
      </w:r>
      <w:r>
        <w:rPr>
          <w:noProof/>
        </w:rPr>
        <w:t>017.</w:t>
      </w:r>
    </w:p>
    <w:p w14:paraId="687DFC10" w14:textId="093B14CB" w:rsidR="00952249" w:rsidRPr="00075C88" w:rsidRDefault="009B5F42" w:rsidP="009B5F42">
      <w:pPr>
        <w:spacing w:line="480" w:lineRule="auto"/>
        <w:rPr>
          <w:rFonts w:ascii="Times New Roman" w:eastAsia="Times New Roman" w:hAnsi="Times New Roman" w:cs="Times New Roman"/>
          <w:b/>
          <w:sz w:val="24"/>
          <w:szCs w:val="24"/>
        </w:rPr>
      </w:pPr>
      <w:r>
        <w:rPr>
          <w:rFonts w:ascii="Times New Roman" w:hAnsi="Times New Roman" w:cs="Times New Roman"/>
          <w:color w:val="222222"/>
          <w:sz w:val="24"/>
          <w:szCs w:val="24"/>
          <w:shd w:val="clear" w:color="auto" w:fill="FFFFFF"/>
        </w:rPr>
        <w:fldChar w:fldCharType="end"/>
      </w:r>
    </w:p>
    <w:sectPr w:rsidR="00952249" w:rsidRPr="00075C88">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7B440" w14:textId="77777777" w:rsidR="00046E80" w:rsidRDefault="00046E80">
      <w:pPr>
        <w:spacing w:line="240" w:lineRule="auto"/>
      </w:pPr>
      <w:r>
        <w:separator/>
      </w:r>
    </w:p>
  </w:endnote>
  <w:endnote w:type="continuationSeparator" w:id="0">
    <w:p w14:paraId="30A2D1B0" w14:textId="77777777" w:rsidR="00046E80" w:rsidRDefault="00046E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7B165" w14:textId="77777777" w:rsidR="00046E80" w:rsidRDefault="00046E80">
      <w:pPr>
        <w:spacing w:line="240" w:lineRule="auto"/>
      </w:pPr>
      <w:r>
        <w:separator/>
      </w:r>
    </w:p>
  </w:footnote>
  <w:footnote w:type="continuationSeparator" w:id="0">
    <w:p w14:paraId="6CF93263" w14:textId="77777777" w:rsidR="00046E80" w:rsidRDefault="00046E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09" w14:textId="77777777" w:rsidR="00C42E9E" w:rsidRDefault="00830BAD">
    <w:pPr>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Mckeon</w:t>
    </w:r>
    <w:proofErr w:type="spellEnd"/>
    <w:r>
      <w:rPr>
        <w:rFonts w:ascii="Times New Roman" w:eastAsia="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E9E"/>
    <w:rsid w:val="00001A4A"/>
    <w:rsid w:val="00046E80"/>
    <w:rsid w:val="00075C88"/>
    <w:rsid w:val="0008747E"/>
    <w:rsid w:val="00101D49"/>
    <w:rsid w:val="001F5A9D"/>
    <w:rsid w:val="00223E68"/>
    <w:rsid w:val="002611D8"/>
    <w:rsid w:val="002C429E"/>
    <w:rsid w:val="003B30A1"/>
    <w:rsid w:val="004A1D7D"/>
    <w:rsid w:val="004C7359"/>
    <w:rsid w:val="004D433E"/>
    <w:rsid w:val="005737D3"/>
    <w:rsid w:val="005E46B0"/>
    <w:rsid w:val="00603777"/>
    <w:rsid w:val="00704367"/>
    <w:rsid w:val="007A3552"/>
    <w:rsid w:val="00802590"/>
    <w:rsid w:val="00830BAD"/>
    <w:rsid w:val="00952249"/>
    <w:rsid w:val="009755B3"/>
    <w:rsid w:val="0098481B"/>
    <w:rsid w:val="009B5F42"/>
    <w:rsid w:val="00A410DF"/>
    <w:rsid w:val="00B45BEB"/>
    <w:rsid w:val="00C42E9E"/>
    <w:rsid w:val="00C641CE"/>
    <w:rsid w:val="00C72F79"/>
    <w:rsid w:val="00CE0725"/>
    <w:rsid w:val="00F00554"/>
    <w:rsid w:val="00F82E63"/>
    <w:rsid w:val="00FC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637E0"/>
  <w15:docId w15:val="{6CC11E8D-7034-4B9B-B910-67433DE99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SubtleEmphasis">
    <w:name w:val="Subtle Emphasis"/>
    <w:basedOn w:val="DefaultParagraphFont"/>
    <w:uiPriority w:val="19"/>
    <w:qFormat/>
    <w:rsid w:val="00223E68"/>
    <w:rPr>
      <w:i/>
      <w:iCs/>
      <w:color w:val="404040" w:themeColor="text1" w:themeTint="BF"/>
    </w:rPr>
  </w:style>
  <w:style w:type="paragraph" w:styleId="Bibliography">
    <w:name w:val="Bibliography"/>
    <w:basedOn w:val="Normal"/>
    <w:next w:val="Normal"/>
    <w:uiPriority w:val="37"/>
    <w:unhideWhenUsed/>
    <w:rsid w:val="005E4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20893">
      <w:bodyDiv w:val="1"/>
      <w:marLeft w:val="0"/>
      <w:marRight w:val="0"/>
      <w:marTop w:val="0"/>
      <w:marBottom w:val="0"/>
      <w:divBdr>
        <w:top w:val="none" w:sz="0" w:space="0" w:color="auto"/>
        <w:left w:val="none" w:sz="0" w:space="0" w:color="auto"/>
        <w:bottom w:val="none" w:sz="0" w:space="0" w:color="auto"/>
        <w:right w:val="none" w:sz="0" w:space="0" w:color="auto"/>
      </w:divBdr>
    </w:div>
    <w:div w:id="296570821">
      <w:bodyDiv w:val="1"/>
      <w:marLeft w:val="0"/>
      <w:marRight w:val="0"/>
      <w:marTop w:val="0"/>
      <w:marBottom w:val="0"/>
      <w:divBdr>
        <w:top w:val="none" w:sz="0" w:space="0" w:color="auto"/>
        <w:left w:val="none" w:sz="0" w:space="0" w:color="auto"/>
        <w:bottom w:val="none" w:sz="0" w:space="0" w:color="auto"/>
        <w:right w:val="none" w:sz="0" w:space="0" w:color="auto"/>
      </w:divBdr>
    </w:div>
    <w:div w:id="303244520">
      <w:bodyDiv w:val="1"/>
      <w:marLeft w:val="0"/>
      <w:marRight w:val="0"/>
      <w:marTop w:val="0"/>
      <w:marBottom w:val="0"/>
      <w:divBdr>
        <w:top w:val="none" w:sz="0" w:space="0" w:color="auto"/>
        <w:left w:val="none" w:sz="0" w:space="0" w:color="auto"/>
        <w:bottom w:val="none" w:sz="0" w:space="0" w:color="auto"/>
        <w:right w:val="none" w:sz="0" w:space="0" w:color="auto"/>
      </w:divBdr>
    </w:div>
    <w:div w:id="392235932">
      <w:bodyDiv w:val="1"/>
      <w:marLeft w:val="0"/>
      <w:marRight w:val="0"/>
      <w:marTop w:val="0"/>
      <w:marBottom w:val="0"/>
      <w:divBdr>
        <w:top w:val="none" w:sz="0" w:space="0" w:color="auto"/>
        <w:left w:val="none" w:sz="0" w:space="0" w:color="auto"/>
        <w:bottom w:val="none" w:sz="0" w:space="0" w:color="auto"/>
        <w:right w:val="none" w:sz="0" w:space="0" w:color="auto"/>
      </w:divBdr>
    </w:div>
    <w:div w:id="593321957">
      <w:bodyDiv w:val="1"/>
      <w:marLeft w:val="0"/>
      <w:marRight w:val="0"/>
      <w:marTop w:val="0"/>
      <w:marBottom w:val="0"/>
      <w:divBdr>
        <w:top w:val="none" w:sz="0" w:space="0" w:color="auto"/>
        <w:left w:val="none" w:sz="0" w:space="0" w:color="auto"/>
        <w:bottom w:val="none" w:sz="0" w:space="0" w:color="auto"/>
        <w:right w:val="none" w:sz="0" w:space="0" w:color="auto"/>
      </w:divBdr>
    </w:div>
    <w:div w:id="682393023">
      <w:bodyDiv w:val="1"/>
      <w:marLeft w:val="0"/>
      <w:marRight w:val="0"/>
      <w:marTop w:val="0"/>
      <w:marBottom w:val="0"/>
      <w:divBdr>
        <w:top w:val="none" w:sz="0" w:space="0" w:color="auto"/>
        <w:left w:val="none" w:sz="0" w:space="0" w:color="auto"/>
        <w:bottom w:val="none" w:sz="0" w:space="0" w:color="auto"/>
        <w:right w:val="none" w:sz="0" w:space="0" w:color="auto"/>
      </w:divBdr>
    </w:div>
    <w:div w:id="768620398">
      <w:bodyDiv w:val="1"/>
      <w:marLeft w:val="0"/>
      <w:marRight w:val="0"/>
      <w:marTop w:val="0"/>
      <w:marBottom w:val="0"/>
      <w:divBdr>
        <w:top w:val="none" w:sz="0" w:space="0" w:color="auto"/>
        <w:left w:val="none" w:sz="0" w:space="0" w:color="auto"/>
        <w:bottom w:val="none" w:sz="0" w:space="0" w:color="auto"/>
        <w:right w:val="none" w:sz="0" w:space="0" w:color="auto"/>
      </w:divBdr>
    </w:div>
    <w:div w:id="963534219">
      <w:bodyDiv w:val="1"/>
      <w:marLeft w:val="0"/>
      <w:marRight w:val="0"/>
      <w:marTop w:val="0"/>
      <w:marBottom w:val="0"/>
      <w:divBdr>
        <w:top w:val="none" w:sz="0" w:space="0" w:color="auto"/>
        <w:left w:val="none" w:sz="0" w:space="0" w:color="auto"/>
        <w:bottom w:val="none" w:sz="0" w:space="0" w:color="auto"/>
        <w:right w:val="none" w:sz="0" w:space="0" w:color="auto"/>
      </w:divBdr>
    </w:div>
    <w:div w:id="983050182">
      <w:bodyDiv w:val="1"/>
      <w:marLeft w:val="0"/>
      <w:marRight w:val="0"/>
      <w:marTop w:val="0"/>
      <w:marBottom w:val="0"/>
      <w:divBdr>
        <w:top w:val="none" w:sz="0" w:space="0" w:color="auto"/>
        <w:left w:val="none" w:sz="0" w:space="0" w:color="auto"/>
        <w:bottom w:val="none" w:sz="0" w:space="0" w:color="auto"/>
        <w:right w:val="none" w:sz="0" w:space="0" w:color="auto"/>
      </w:divBdr>
    </w:div>
    <w:div w:id="1416199483">
      <w:bodyDiv w:val="1"/>
      <w:marLeft w:val="0"/>
      <w:marRight w:val="0"/>
      <w:marTop w:val="0"/>
      <w:marBottom w:val="0"/>
      <w:divBdr>
        <w:top w:val="none" w:sz="0" w:space="0" w:color="auto"/>
        <w:left w:val="none" w:sz="0" w:space="0" w:color="auto"/>
        <w:bottom w:val="none" w:sz="0" w:space="0" w:color="auto"/>
        <w:right w:val="none" w:sz="0" w:space="0" w:color="auto"/>
      </w:divBdr>
    </w:div>
    <w:div w:id="1699351227">
      <w:bodyDiv w:val="1"/>
      <w:marLeft w:val="0"/>
      <w:marRight w:val="0"/>
      <w:marTop w:val="0"/>
      <w:marBottom w:val="0"/>
      <w:divBdr>
        <w:top w:val="none" w:sz="0" w:space="0" w:color="auto"/>
        <w:left w:val="none" w:sz="0" w:space="0" w:color="auto"/>
        <w:bottom w:val="none" w:sz="0" w:space="0" w:color="auto"/>
        <w:right w:val="none" w:sz="0" w:space="0" w:color="auto"/>
      </w:divBdr>
    </w:div>
    <w:div w:id="1814058275">
      <w:bodyDiv w:val="1"/>
      <w:marLeft w:val="0"/>
      <w:marRight w:val="0"/>
      <w:marTop w:val="0"/>
      <w:marBottom w:val="0"/>
      <w:divBdr>
        <w:top w:val="none" w:sz="0" w:space="0" w:color="auto"/>
        <w:left w:val="none" w:sz="0" w:space="0" w:color="auto"/>
        <w:bottom w:val="none" w:sz="0" w:space="0" w:color="auto"/>
        <w:right w:val="none" w:sz="0" w:space="0" w:color="auto"/>
      </w:divBdr>
    </w:div>
    <w:div w:id="1840924247">
      <w:bodyDiv w:val="1"/>
      <w:marLeft w:val="0"/>
      <w:marRight w:val="0"/>
      <w:marTop w:val="0"/>
      <w:marBottom w:val="0"/>
      <w:divBdr>
        <w:top w:val="none" w:sz="0" w:space="0" w:color="auto"/>
        <w:left w:val="none" w:sz="0" w:space="0" w:color="auto"/>
        <w:bottom w:val="none" w:sz="0" w:space="0" w:color="auto"/>
        <w:right w:val="none" w:sz="0" w:space="0" w:color="auto"/>
      </w:divBdr>
    </w:div>
    <w:div w:id="2031489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Wel17</b:Tag>
    <b:SourceType>Book</b:SourceType>
    <b:Guid>{F980EFEA-1827-4CC6-ACBF-D42D87E3E85A}</b:Guid>
    <b:Author>
      <b:Author>
        <b:NameList>
          <b:Person>
            <b:Last>Wells</b:Last>
            <b:First>Donald</b:First>
          </b:Person>
        </b:NameList>
      </b:Author>
    </b:Author>
    <b:Title> The Federal Reserve System: A History</b:Title>
    <b:Year>2017</b:Year>
    <b:City>McFarland</b:City>
    <b:RefOrder>1</b:RefOrder>
  </b:Source>
  <b:Source>
    <b:Tag>Law15</b:Tag>
    <b:SourceType>JournalArticle</b:SourceType>
    <b:Guid>{7D11AD38-4AAC-4D14-8FCC-987101FFEC32}</b:Guid>
    <b:Title>The Federal Reserve System's Influence on Research in Monetary Economics</b:Title>
    <b:Year>2015</b:Year>
    <b:Author>
      <b:Author>
        <b:NameList>
          <b:Person>
            <b:Last>Lawrence</b:Last>
            <b:First>White</b:First>
          </b:Person>
        </b:NameList>
      </b:Author>
    </b:Author>
    <b:JournalName>Econ Journal Watch</b:JournalName>
    <b:Pages>325-354</b:Pages>
    <b:URL>https://www.researchgate.net/publication/46530632_The_Federal_Reserve_System's_Influence_on_Research_in_Monetary_Economics</b:URL>
    <b:RefOrder>3</b:RefOrder>
  </b:Source>
  <b:Source>
    <b:Tag>Ori99</b:Tag>
    <b:SourceType>JournalArticle</b:SourceType>
    <b:Guid>{68FDACEA-31B2-4058-9746-AB21FF23353A}</b:Guid>
    <b:Author>
      <b:Author>
        <b:NameList>
          <b:Person>
            <b:Last>Broz</b:Last>
            <b:First>Lawrence</b:First>
          </b:Person>
        </b:NameList>
      </b:Author>
    </b:Author>
    <b:Title>Origins Of The Federal Reserve System: International Incentives And The Domestic Free-Rider Problem</b:Title>
    <b:Year>1999</b:Year>
    <b:Pages>4-40</b:Pages>
    <b:RefOrder>2</b:RefOrder>
  </b:Source>
</b:Sources>
</file>

<file path=customXml/itemProps1.xml><?xml version="1.0" encoding="utf-8"?>
<ds:datastoreItem xmlns:ds="http://schemas.openxmlformats.org/officeDocument/2006/customXml" ds:itemID="{90F5E90A-D794-463F-9E23-DA723CD6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21</cp:revision>
  <dcterms:created xsi:type="dcterms:W3CDTF">2020-12-09T00:13:00Z</dcterms:created>
  <dcterms:modified xsi:type="dcterms:W3CDTF">2020-12-09T06:06:00Z</dcterms:modified>
</cp:coreProperties>
</file>